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92" w:rsidRPr="001F7752" w:rsidRDefault="00C91592" w:rsidP="00C91592">
      <w:pPr>
        <w:jc w:val="center"/>
        <w:rPr>
          <w:rFonts w:asciiTheme="majorHAnsi" w:hAnsiTheme="majorHAnsi" w:cs="Arial"/>
          <w:b/>
        </w:rPr>
      </w:pPr>
      <w:r>
        <w:rPr>
          <w:rFonts w:asciiTheme="majorHAnsi" w:hAnsiTheme="majorHAnsi" w:cs="Arial"/>
          <w:b/>
        </w:rPr>
        <w:t>Asset Value Investors Limited</w:t>
      </w:r>
      <w:r w:rsidRPr="001F7752">
        <w:rPr>
          <w:rFonts w:asciiTheme="majorHAnsi" w:hAnsiTheme="majorHAnsi" w:cs="Arial"/>
          <w:b/>
        </w:rPr>
        <w:t xml:space="preserve"> </w:t>
      </w:r>
    </w:p>
    <w:p w:rsidR="00C91592" w:rsidRDefault="00C91592" w:rsidP="00C91592">
      <w:pPr>
        <w:jc w:val="center"/>
        <w:rPr>
          <w:rFonts w:asciiTheme="majorHAnsi" w:hAnsiTheme="majorHAnsi" w:cs="Arial"/>
          <w:b/>
        </w:rPr>
      </w:pPr>
      <w:r w:rsidRPr="001F7752">
        <w:rPr>
          <w:rFonts w:asciiTheme="majorHAnsi" w:hAnsiTheme="majorHAnsi" w:cs="Arial"/>
          <w:b/>
        </w:rPr>
        <w:t xml:space="preserve">Remuneration </w:t>
      </w:r>
      <w:r>
        <w:rPr>
          <w:rFonts w:asciiTheme="majorHAnsi" w:hAnsiTheme="majorHAnsi" w:cs="Arial"/>
          <w:b/>
        </w:rPr>
        <w:t>Disclosure</w:t>
      </w:r>
    </w:p>
    <w:p w:rsidR="00C91592" w:rsidRDefault="00391BC0" w:rsidP="00C91592">
      <w:pPr>
        <w:overflowPunct w:val="0"/>
        <w:autoSpaceDE w:val="0"/>
        <w:autoSpaceDN w:val="0"/>
        <w:spacing w:line="223" w:lineRule="exact"/>
        <w:ind w:left="40"/>
        <w:jc w:val="center"/>
        <w:rPr>
          <w:rFonts w:ascii="Arial" w:hAnsi="Arial" w:cs="Arial"/>
          <w:b/>
          <w:bCs/>
          <w:sz w:val="20"/>
          <w:szCs w:val="20"/>
          <w:lang w:eastAsia="en-GB"/>
        </w:rPr>
      </w:pPr>
      <w:r>
        <w:rPr>
          <w:rFonts w:asciiTheme="majorHAnsi" w:hAnsiTheme="majorHAnsi" w:cs="Arial"/>
          <w:b/>
        </w:rPr>
        <w:t>February</w:t>
      </w:r>
      <w:r w:rsidR="00454221">
        <w:rPr>
          <w:rFonts w:asciiTheme="majorHAnsi" w:hAnsiTheme="majorHAnsi" w:cs="Arial"/>
          <w:b/>
        </w:rPr>
        <w:t xml:space="preserve"> 20</w:t>
      </w:r>
      <w:r>
        <w:rPr>
          <w:rFonts w:asciiTheme="majorHAnsi" w:hAnsiTheme="majorHAnsi" w:cs="Arial"/>
          <w:b/>
        </w:rPr>
        <w:t>20</w:t>
      </w:r>
    </w:p>
    <w:p w:rsidR="00C91592" w:rsidRDefault="00C91592" w:rsidP="00845CA1">
      <w:pPr>
        <w:overflowPunct w:val="0"/>
        <w:autoSpaceDE w:val="0"/>
        <w:autoSpaceDN w:val="0"/>
        <w:spacing w:line="223" w:lineRule="exact"/>
        <w:ind w:left="40"/>
        <w:rPr>
          <w:rFonts w:ascii="Arial" w:hAnsi="Arial" w:cs="Arial"/>
          <w:b/>
          <w:bCs/>
          <w:sz w:val="20"/>
          <w:szCs w:val="20"/>
          <w:lang w:eastAsia="en-GB"/>
        </w:rPr>
      </w:pPr>
    </w:p>
    <w:p w:rsidR="00C91592" w:rsidRDefault="00C91592" w:rsidP="00845CA1">
      <w:pPr>
        <w:overflowPunct w:val="0"/>
        <w:autoSpaceDE w:val="0"/>
        <w:autoSpaceDN w:val="0"/>
        <w:spacing w:line="223" w:lineRule="exact"/>
        <w:ind w:left="40"/>
        <w:rPr>
          <w:rFonts w:ascii="Arial" w:hAnsi="Arial" w:cs="Arial"/>
          <w:b/>
          <w:bCs/>
          <w:sz w:val="20"/>
          <w:szCs w:val="20"/>
          <w:lang w:eastAsia="en-GB"/>
        </w:rPr>
      </w:pPr>
    </w:p>
    <w:p w:rsidR="00C91592" w:rsidRDefault="00C91592" w:rsidP="00845CA1">
      <w:pPr>
        <w:overflowPunct w:val="0"/>
        <w:autoSpaceDE w:val="0"/>
        <w:autoSpaceDN w:val="0"/>
        <w:spacing w:line="223" w:lineRule="exact"/>
        <w:ind w:left="40"/>
        <w:rPr>
          <w:rFonts w:ascii="Arial" w:hAnsi="Arial" w:cs="Arial"/>
          <w:b/>
          <w:bCs/>
          <w:sz w:val="20"/>
          <w:szCs w:val="20"/>
          <w:lang w:eastAsia="en-GB"/>
        </w:rPr>
      </w:pPr>
    </w:p>
    <w:p w:rsidR="00845CA1" w:rsidRDefault="00C91592" w:rsidP="00C91592">
      <w:pPr>
        <w:overflowPunct w:val="0"/>
        <w:autoSpaceDE w:val="0"/>
        <w:autoSpaceDN w:val="0"/>
        <w:spacing w:line="223" w:lineRule="exact"/>
        <w:ind w:left="40" w:firstLine="337"/>
        <w:rPr>
          <w:rFonts w:ascii="Arial" w:hAnsi="Arial" w:cs="Arial"/>
          <w:b/>
          <w:bCs/>
          <w:sz w:val="20"/>
          <w:szCs w:val="20"/>
          <w:lang w:eastAsia="en-GB"/>
        </w:rPr>
      </w:pPr>
      <w:r>
        <w:rPr>
          <w:rFonts w:ascii="Arial" w:hAnsi="Arial" w:cs="Arial"/>
          <w:b/>
          <w:bCs/>
          <w:sz w:val="20"/>
          <w:szCs w:val="20"/>
          <w:lang w:eastAsia="en-GB"/>
        </w:rPr>
        <w:t>R</w:t>
      </w:r>
      <w:r w:rsidR="00845CA1">
        <w:rPr>
          <w:rFonts w:ascii="Arial" w:hAnsi="Arial" w:cs="Arial"/>
          <w:b/>
          <w:bCs/>
          <w:sz w:val="20"/>
          <w:szCs w:val="20"/>
          <w:lang w:eastAsia="en-GB"/>
        </w:rPr>
        <w:t>emuneration</w:t>
      </w:r>
    </w:p>
    <w:p w:rsidR="00845CA1" w:rsidRDefault="00C91592" w:rsidP="00845CA1">
      <w:pPr>
        <w:overflowPunct w:val="0"/>
        <w:autoSpaceDE w:val="0"/>
        <w:autoSpaceDN w:val="0"/>
        <w:spacing w:before="98"/>
        <w:ind w:left="377" w:right="684"/>
        <w:jc w:val="both"/>
        <w:rPr>
          <w:rFonts w:ascii="Arial" w:hAnsi="Arial" w:cs="Arial"/>
          <w:sz w:val="20"/>
          <w:szCs w:val="20"/>
          <w:lang w:eastAsia="en-GB"/>
        </w:rPr>
      </w:pPr>
      <w:r>
        <w:rPr>
          <w:rFonts w:ascii="Arial" w:hAnsi="Arial" w:cs="Arial"/>
          <w:sz w:val="20"/>
          <w:szCs w:val="20"/>
          <w:lang w:eastAsia="en-GB"/>
        </w:rPr>
        <w:t>Asset Value Investors Limited</w:t>
      </w:r>
      <w:r w:rsidR="00845CA1">
        <w:rPr>
          <w:rFonts w:ascii="Arial" w:hAnsi="Arial" w:cs="Arial"/>
          <w:sz w:val="20"/>
          <w:szCs w:val="20"/>
          <w:lang w:eastAsia="en-GB"/>
        </w:rPr>
        <w:t xml:space="preserve"> (the “Firm”) has implemented a remuneration policy (the “Remuneration Policy”) in line with the provisions of Article 13 of the Directive 2011/61/EC on Alternative Investment Fund Managers (“AIFMD”), in particular Annex II, and of the European Securities and Markets Authority’s (“ESMA’s”) “Guidelines on sound remuneration policies under the AIFMD” (“the “ESMA Guidelines”). The Remuneration Policy is designed to inter-alia ensure that any relevant conflicts of interest can be managed appropriately at all times. The Firm act</w:t>
      </w:r>
      <w:bookmarkStart w:id="0" w:name="_GoBack"/>
      <w:bookmarkEnd w:id="0"/>
      <w:r w:rsidR="00845CA1">
        <w:rPr>
          <w:rFonts w:ascii="Arial" w:hAnsi="Arial" w:cs="Arial"/>
          <w:sz w:val="20"/>
          <w:szCs w:val="20"/>
          <w:lang w:eastAsia="en-GB"/>
        </w:rPr>
        <w:t xml:space="preserve">s as AIFM to </w:t>
      </w:r>
      <w:r w:rsidR="00454221">
        <w:rPr>
          <w:rFonts w:ascii="Arial" w:hAnsi="Arial" w:cs="Arial"/>
          <w:sz w:val="20"/>
          <w:szCs w:val="20"/>
          <w:lang w:eastAsia="en-GB"/>
        </w:rPr>
        <w:t xml:space="preserve">AVI </w:t>
      </w:r>
      <w:r w:rsidR="003812AF">
        <w:rPr>
          <w:rFonts w:ascii="Arial" w:hAnsi="Arial" w:cs="Arial"/>
          <w:sz w:val="20"/>
          <w:szCs w:val="20"/>
          <w:lang w:eastAsia="en-GB"/>
        </w:rPr>
        <w:t>Japan Opportunity</w:t>
      </w:r>
      <w:r w:rsidR="00454221">
        <w:rPr>
          <w:rFonts w:ascii="Arial" w:hAnsi="Arial" w:cs="Arial"/>
          <w:sz w:val="20"/>
          <w:szCs w:val="20"/>
          <w:lang w:eastAsia="en-GB"/>
        </w:rPr>
        <w:t xml:space="preserve"> Trust plc </w:t>
      </w:r>
      <w:r w:rsidR="00845CA1">
        <w:rPr>
          <w:rFonts w:ascii="Arial" w:hAnsi="Arial" w:cs="Arial"/>
          <w:sz w:val="20"/>
          <w:szCs w:val="20"/>
          <w:lang w:eastAsia="en-GB"/>
        </w:rPr>
        <w:t>(the “</w:t>
      </w:r>
      <w:r w:rsidR="003141FE">
        <w:rPr>
          <w:rFonts w:ascii="Arial" w:hAnsi="Arial" w:cs="Arial"/>
          <w:sz w:val="20"/>
          <w:szCs w:val="20"/>
          <w:lang w:eastAsia="en-GB"/>
        </w:rPr>
        <w:t>Fund</w:t>
      </w:r>
      <w:r w:rsidR="00845CA1">
        <w:rPr>
          <w:rFonts w:ascii="Arial" w:hAnsi="Arial" w:cs="Arial"/>
          <w:sz w:val="20"/>
          <w:szCs w:val="20"/>
          <w:lang w:eastAsia="en-GB"/>
        </w:rPr>
        <w:t>”). The Firm’s Remuneration Policy applies to all alternative investment funds (“AIFs”, as defined under AIFMD) for which the Firm acts as AIFM. The disclosures in this report are made in respect of the Firm’s Remuneration Policy and how it applies to</w:t>
      </w:r>
      <w:r w:rsidR="003141FE">
        <w:rPr>
          <w:rFonts w:ascii="Arial" w:hAnsi="Arial" w:cs="Arial"/>
          <w:sz w:val="20"/>
          <w:szCs w:val="20"/>
          <w:lang w:eastAsia="en-GB"/>
        </w:rPr>
        <w:t xml:space="preserve"> the Fund</w:t>
      </w:r>
      <w:r w:rsidR="00845CA1">
        <w:rPr>
          <w:rFonts w:ascii="Arial" w:hAnsi="Arial" w:cs="Arial"/>
          <w:sz w:val="20"/>
          <w:szCs w:val="20"/>
          <w:lang w:eastAsia="en-GB"/>
        </w:rPr>
        <w:t>. The disclosures are made in accordance with AIFMD, the European Commission Delegated Regulation supplementing the AIFMD and the ESMA Guidelines.</w:t>
      </w:r>
    </w:p>
    <w:p w:rsidR="00845CA1" w:rsidRDefault="00845CA1" w:rsidP="00845CA1">
      <w:pPr>
        <w:overflowPunct w:val="0"/>
        <w:autoSpaceDE w:val="0"/>
        <w:autoSpaceDN w:val="0"/>
        <w:spacing w:before="1"/>
        <w:rPr>
          <w:rFonts w:ascii="Arial" w:hAnsi="Arial" w:cs="Arial"/>
          <w:sz w:val="20"/>
          <w:szCs w:val="20"/>
          <w:lang w:eastAsia="en-GB"/>
        </w:rPr>
      </w:pPr>
    </w:p>
    <w:p w:rsidR="00845CA1" w:rsidRDefault="00845CA1" w:rsidP="00845CA1">
      <w:pPr>
        <w:overflowPunct w:val="0"/>
        <w:autoSpaceDE w:val="0"/>
        <w:autoSpaceDN w:val="0"/>
        <w:ind w:left="377" w:right="687"/>
        <w:jc w:val="both"/>
        <w:rPr>
          <w:rFonts w:ascii="Arial" w:hAnsi="Arial" w:cs="Arial"/>
          <w:sz w:val="20"/>
          <w:szCs w:val="20"/>
          <w:lang w:eastAsia="en-GB"/>
        </w:rPr>
      </w:pPr>
      <w:r>
        <w:rPr>
          <w:rFonts w:ascii="Arial" w:hAnsi="Arial" w:cs="Arial"/>
          <w:sz w:val="20"/>
          <w:szCs w:val="20"/>
          <w:lang w:eastAsia="en-GB"/>
        </w:rPr>
        <w:t>The AIFM’s Board of Directors (the “Board”) recognise the important role played by sound risk management in protecting its stakeholders. Alongside the Firm’s Remuneration Policy, the Alternative Investment Fund Manager’s remuneration framework aligns the risk taking behaviour of its employees and officers with the AIFM’s risk appetite.</w:t>
      </w:r>
    </w:p>
    <w:p w:rsidR="00845CA1" w:rsidRDefault="00845CA1" w:rsidP="00845CA1">
      <w:pPr>
        <w:overflowPunct w:val="0"/>
        <w:autoSpaceDE w:val="0"/>
        <w:autoSpaceDN w:val="0"/>
        <w:rPr>
          <w:rFonts w:ascii="Arial" w:hAnsi="Arial" w:cs="Arial"/>
          <w:sz w:val="20"/>
          <w:szCs w:val="20"/>
          <w:lang w:eastAsia="en-GB"/>
        </w:rPr>
      </w:pPr>
    </w:p>
    <w:p w:rsidR="00845CA1" w:rsidRDefault="00845CA1" w:rsidP="00845CA1">
      <w:pPr>
        <w:overflowPunct w:val="0"/>
        <w:autoSpaceDE w:val="0"/>
        <w:autoSpaceDN w:val="0"/>
        <w:spacing w:before="1"/>
        <w:ind w:left="377" w:right="687"/>
        <w:jc w:val="both"/>
        <w:rPr>
          <w:rFonts w:ascii="Arial" w:hAnsi="Arial" w:cs="Arial"/>
          <w:sz w:val="20"/>
          <w:szCs w:val="20"/>
          <w:lang w:eastAsia="en-GB"/>
        </w:rPr>
      </w:pPr>
      <w:r>
        <w:rPr>
          <w:rFonts w:ascii="Arial" w:hAnsi="Arial" w:cs="Arial"/>
          <w:sz w:val="20"/>
          <w:szCs w:val="20"/>
          <w:lang w:eastAsia="en-GB"/>
        </w:rPr>
        <w:t>The Alternative Investment Fund Manager’s remuneration framework is designed to ensure that it is able to attract, retain and motivate highly qualified staff in order to produce long-term value creation for the investors of the funds it manages. The Firm, as AIFM, oversees the compliance of the Alternative Investment Fund Manager’s remuneration framework with the requirements of the AIFMD.</w:t>
      </w:r>
    </w:p>
    <w:p w:rsidR="00845CA1" w:rsidRDefault="00845CA1" w:rsidP="00845CA1">
      <w:pPr>
        <w:overflowPunct w:val="0"/>
        <w:autoSpaceDE w:val="0"/>
        <w:autoSpaceDN w:val="0"/>
        <w:spacing w:before="1"/>
        <w:rPr>
          <w:rFonts w:ascii="Arial" w:hAnsi="Arial" w:cs="Arial"/>
          <w:sz w:val="20"/>
          <w:szCs w:val="20"/>
          <w:lang w:eastAsia="en-GB"/>
        </w:rPr>
      </w:pPr>
    </w:p>
    <w:p w:rsidR="00845CA1" w:rsidRDefault="00845CA1" w:rsidP="00845CA1">
      <w:pPr>
        <w:overflowPunct w:val="0"/>
        <w:autoSpaceDE w:val="0"/>
        <w:autoSpaceDN w:val="0"/>
        <w:ind w:left="377" w:right="686"/>
        <w:jc w:val="both"/>
        <w:rPr>
          <w:rFonts w:ascii="Arial" w:hAnsi="Arial" w:cs="Arial"/>
          <w:sz w:val="20"/>
          <w:szCs w:val="20"/>
          <w:lang w:eastAsia="en-GB"/>
        </w:rPr>
      </w:pPr>
      <w:r>
        <w:rPr>
          <w:rFonts w:ascii="Arial" w:hAnsi="Arial" w:cs="Arial"/>
          <w:sz w:val="20"/>
          <w:szCs w:val="20"/>
          <w:lang w:eastAsia="en-GB"/>
        </w:rPr>
        <w:t xml:space="preserve">The total amount of remuneration paid by the Firm to its staff members in respect of the financial year ended </w:t>
      </w:r>
      <w:r w:rsidR="003141FE">
        <w:rPr>
          <w:rFonts w:ascii="Arial" w:hAnsi="Arial" w:cs="Arial"/>
          <w:sz w:val="20"/>
          <w:szCs w:val="20"/>
          <w:lang w:eastAsia="en-GB"/>
        </w:rPr>
        <w:t>30 September 201</w:t>
      </w:r>
      <w:r w:rsidR="0060085D">
        <w:rPr>
          <w:rFonts w:ascii="Arial" w:hAnsi="Arial" w:cs="Arial"/>
          <w:sz w:val="20"/>
          <w:szCs w:val="20"/>
          <w:lang w:eastAsia="en-GB"/>
        </w:rPr>
        <w:t>9</w:t>
      </w:r>
      <w:r w:rsidR="003141FE">
        <w:rPr>
          <w:rFonts w:ascii="Arial" w:hAnsi="Arial" w:cs="Arial"/>
          <w:sz w:val="20"/>
          <w:szCs w:val="20"/>
          <w:lang w:eastAsia="en-GB"/>
        </w:rPr>
        <w:t xml:space="preserve"> </w:t>
      </w:r>
      <w:r>
        <w:rPr>
          <w:rFonts w:ascii="Arial" w:hAnsi="Arial" w:cs="Arial"/>
          <w:sz w:val="20"/>
          <w:szCs w:val="20"/>
          <w:lang w:eastAsia="en-GB"/>
        </w:rPr>
        <w:t>is shown below</w:t>
      </w:r>
      <w:r w:rsidR="003141FE">
        <w:rPr>
          <w:rFonts w:ascii="Arial" w:hAnsi="Arial" w:cs="Arial"/>
          <w:sz w:val="20"/>
          <w:szCs w:val="20"/>
          <w:lang w:eastAsia="en-GB"/>
        </w:rPr>
        <w:t>:</w:t>
      </w:r>
    </w:p>
    <w:p w:rsidR="00C91592" w:rsidRDefault="00C91592" w:rsidP="00845CA1">
      <w:pPr>
        <w:overflowPunct w:val="0"/>
        <w:autoSpaceDE w:val="0"/>
        <w:autoSpaceDN w:val="0"/>
        <w:ind w:left="377" w:right="686"/>
        <w:jc w:val="both"/>
        <w:rPr>
          <w:rFonts w:ascii="Arial" w:hAnsi="Arial" w:cs="Arial"/>
          <w:sz w:val="20"/>
          <w:szCs w:val="20"/>
          <w:lang w:eastAsia="en-GB"/>
        </w:rPr>
      </w:pPr>
    </w:p>
    <w:p w:rsidR="00845CA1" w:rsidRDefault="00845CA1" w:rsidP="00845CA1">
      <w:pPr>
        <w:overflowPunct w:val="0"/>
        <w:autoSpaceDE w:val="0"/>
        <w:autoSpaceDN w:val="0"/>
        <w:spacing w:before="1"/>
        <w:rPr>
          <w:rFonts w:ascii="Arial" w:hAnsi="Arial" w:cs="Arial"/>
          <w:sz w:val="20"/>
          <w:szCs w:val="20"/>
          <w:lang w:eastAsia="en-GB"/>
        </w:rPr>
      </w:pPr>
    </w:p>
    <w:tbl>
      <w:tblPr>
        <w:tblW w:w="0" w:type="auto"/>
        <w:tblInd w:w="436" w:type="dxa"/>
        <w:tblCellMar>
          <w:left w:w="0" w:type="dxa"/>
          <w:right w:w="0" w:type="dxa"/>
        </w:tblCellMar>
        <w:tblLook w:val="04A0" w:firstRow="1" w:lastRow="0" w:firstColumn="1" w:lastColumn="0" w:noHBand="0" w:noVBand="1"/>
      </w:tblPr>
      <w:tblGrid>
        <w:gridCol w:w="2604"/>
        <w:gridCol w:w="1366"/>
        <w:gridCol w:w="1510"/>
        <w:gridCol w:w="26"/>
        <w:gridCol w:w="1625"/>
        <w:gridCol w:w="13"/>
        <w:gridCol w:w="1466"/>
      </w:tblGrid>
      <w:tr w:rsidR="00C91592" w:rsidTr="00C91592">
        <w:trPr>
          <w:trHeight w:hRule="exact" w:val="701"/>
        </w:trPr>
        <w:tc>
          <w:tcPr>
            <w:tcW w:w="2604" w:type="dxa"/>
            <w:tcBorders>
              <w:top w:val="single" w:sz="8" w:space="0" w:color="000000"/>
              <w:left w:val="single" w:sz="8" w:space="0" w:color="000000"/>
              <w:bottom w:val="single" w:sz="8" w:space="0" w:color="000000"/>
              <w:right w:val="single" w:sz="8" w:space="0" w:color="000000"/>
            </w:tcBorders>
            <w:hideMark/>
          </w:tcPr>
          <w:p w:rsidR="00845CA1" w:rsidRPr="00DE22F5" w:rsidRDefault="00845CA1">
            <w:pPr>
              <w:overflowPunct w:val="0"/>
              <w:autoSpaceDE w:val="0"/>
              <w:autoSpaceDN w:val="0"/>
              <w:spacing w:line="227" w:lineRule="exact"/>
              <w:ind w:left="100"/>
              <w:rPr>
                <w:rFonts w:ascii="Arial" w:hAnsi="Arial" w:cs="Arial"/>
                <w:sz w:val="20"/>
                <w:szCs w:val="20"/>
                <w:lang w:eastAsia="en-GB"/>
              </w:rPr>
            </w:pPr>
            <w:r w:rsidRPr="00DE22F5">
              <w:rPr>
                <w:rFonts w:ascii="Arial" w:hAnsi="Arial" w:cs="Arial"/>
                <w:sz w:val="20"/>
                <w:szCs w:val="20"/>
                <w:lang w:eastAsia="en-GB"/>
              </w:rPr>
              <w:t>Description</w:t>
            </w:r>
          </w:p>
        </w:tc>
        <w:tc>
          <w:tcPr>
            <w:tcW w:w="1366" w:type="dxa"/>
            <w:tcBorders>
              <w:top w:val="single" w:sz="8" w:space="0" w:color="000000"/>
              <w:left w:val="nil"/>
              <w:bottom w:val="single" w:sz="8" w:space="0" w:color="000000"/>
              <w:right w:val="single" w:sz="8" w:space="0" w:color="000000"/>
            </w:tcBorders>
            <w:hideMark/>
          </w:tcPr>
          <w:p w:rsidR="00C91592" w:rsidRPr="00DE22F5" w:rsidRDefault="00C91592"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 xml:space="preserve">Number of </w:t>
            </w:r>
          </w:p>
          <w:p w:rsidR="00845CA1" w:rsidRPr="00DE22F5" w:rsidRDefault="00845CA1"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Beneficiaries</w:t>
            </w:r>
          </w:p>
        </w:tc>
        <w:tc>
          <w:tcPr>
            <w:tcW w:w="1510" w:type="dxa"/>
            <w:tcBorders>
              <w:top w:val="single" w:sz="8" w:space="0" w:color="000000"/>
              <w:left w:val="nil"/>
              <w:bottom w:val="single" w:sz="8" w:space="0" w:color="000000"/>
              <w:right w:val="single" w:sz="8" w:space="0" w:color="000000"/>
            </w:tcBorders>
            <w:hideMark/>
          </w:tcPr>
          <w:p w:rsidR="00845CA1" w:rsidRPr="00DE22F5" w:rsidRDefault="00845CA1"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Total Remuneration (£)</w:t>
            </w:r>
          </w:p>
        </w:tc>
        <w:tc>
          <w:tcPr>
            <w:tcW w:w="1651" w:type="dxa"/>
            <w:gridSpan w:val="2"/>
            <w:tcBorders>
              <w:top w:val="single" w:sz="8" w:space="0" w:color="000000"/>
              <w:left w:val="nil"/>
              <w:bottom w:val="single" w:sz="8" w:space="0" w:color="000000"/>
              <w:right w:val="single" w:sz="8" w:space="0" w:color="000000"/>
            </w:tcBorders>
            <w:hideMark/>
          </w:tcPr>
          <w:p w:rsidR="00845CA1" w:rsidRPr="00DE22F5" w:rsidRDefault="00845CA1"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Fixed Remuneration (£)</w:t>
            </w:r>
          </w:p>
        </w:tc>
        <w:tc>
          <w:tcPr>
            <w:tcW w:w="1479" w:type="dxa"/>
            <w:gridSpan w:val="2"/>
            <w:tcBorders>
              <w:top w:val="single" w:sz="8" w:space="0" w:color="000000"/>
              <w:left w:val="nil"/>
              <w:bottom w:val="single" w:sz="8" w:space="0" w:color="000000"/>
              <w:right w:val="single" w:sz="8" w:space="0" w:color="000000"/>
            </w:tcBorders>
            <w:hideMark/>
          </w:tcPr>
          <w:p w:rsidR="00845CA1" w:rsidRPr="00DE22F5" w:rsidRDefault="00845CA1"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Variable Remuneration (£)</w:t>
            </w:r>
          </w:p>
        </w:tc>
      </w:tr>
      <w:tr w:rsidR="00C91592" w:rsidTr="00C91592">
        <w:trPr>
          <w:trHeight w:hRule="exact" w:val="592"/>
        </w:trPr>
        <w:tc>
          <w:tcPr>
            <w:tcW w:w="2604" w:type="dxa"/>
            <w:tcBorders>
              <w:top w:val="nil"/>
              <w:left w:val="single" w:sz="8" w:space="0" w:color="000000"/>
              <w:bottom w:val="single" w:sz="8" w:space="0" w:color="000000"/>
              <w:right w:val="single" w:sz="8" w:space="0" w:color="000000"/>
            </w:tcBorders>
            <w:hideMark/>
          </w:tcPr>
          <w:p w:rsidR="00845CA1" w:rsidRPr="00DE22F5" w:rsidRDefault="00845CA1">
            <w:pPr>
              <w:overflowPunct w:val="0"/>
              <w:autoSpaceDE w:val="0"/>
              <w:autoSpaceDN w:val="0"/>
              <w:spacing w:line="227" w:lineRule="exact"/>
              <w:ind w:left="100"/>
              <w:rPr>
                <w:rFonts w:ascii="Arial" w:hAnsi="Arial" w:cs="Arial"/>
                <w:sz w:val="20"/>
                <w:szCs w:val="20"/>
                <w:lang w:eastAsia="en-GB"/>
              </w:rPr>
            </w:pPr>
            <w:r w:rsidRPr="00DE22F5">
              <w:rPr>
                <w:rFonts w:ascii="Arial" w:hAnsi="Arial" w:cs="Arial"/>
                <w:sz w:val="20"/>
                <w:szCs w:val="20"/>
                <w:lang w:eastAsia="en-GB"/>
              </w:rPr>
              <w:t>Remuneration paid to all employees</w:t>
            </w:r>
          </w:p>
        </w:tc>
        <w:tc>
          <w:tcPr>
            <w:tcW w:w="1366" w:type="dxa"/>
            <w:tcBorders>
              <w:top w:val="nil"/>
              <w:left w:val="nil"/>
              <w:bottom w:val="single" w:sz="8" w:space="0" w:color="000000"/>
              <w:right w:val="single" w:sz="8" w:space="0" w:color="000000"/>
            </w:tcBorders>
          </w:tcPr>
          <w:p w:rsidR="00845CA1" w:rsidRPr="00DE22F5" w:rsidRDefault="00DE22F5" w:rsidP="00465DF8">
            <w:pPr>
              <w:spacing w:line="-468" w:lineRule="auto"/>
              <w:jc w:val="right"/>
              <w:rPr>
                <w:rFonts w:ascii="Arial" w:hAnsi="Arial" w:cs="Arial"/>
                <w:sz w:val="20"/>
                <w:szCs w:val="20"/>
              </w:rPr>
            </w:pPr>
            <w:r w:rsidRPr="00DE22F5">
              <w:rPr>
                <w:rFonts w:ascii="Arial" w:hAnsi="Arial" w:cs="Arial"/>
                <w:sz w:val="20"/>
                <w:szCs w:val="20"/>
              </w:rPr>
              <w:t>1</w:t>
            </w:r>
            <w:r w:rsidR="00465DF8">
              <w:rPr>
                <w:rFonts w:ascii="Arial" w:hAnsi="Arial" w:cs="Arial"/>
                <w:sz w:val="20"/>
                <w:szCs w:val="20"/>
              </w:rPr>
              <w:t>3</w:t>
            </w:r>
          </w:p>
        </w:tc>
        <w:tc>
          <w:tcPr>
            <w:tcW w:w="1510" w:type="dxa"/>
            <w:tcBorders>
              <w:top w:val="nil"/>
              <w:left w:val="nil"/>
              <w:bottom w:val="single" w:sz="8" w:space="0" w:color="000000"/>
              <w:right w:val="single" w:sz="8" w:space="0" w:color="000000"/>
            </w:tcBorders>
          </w:tcPr>
          <w:p w:rsidR="00845CA1" w:rsidRPr="00DE22F5" w:rsidRDefault="0060085D" w:rsidP="00465DF8">
            <w:pPr>
              <w:spacing w:line="-468" w:lineRule="auto"/>
              <w:jc w:val="right"/>
              <w:rPr>
                <w:rFonts w:ascii="Arial" w:hAnsi="Arial" w:cs="Arial"/>
                <w:sz w:val="20"/>
                <w:szCs w:val="20"/>
              </w:rPr>
            </w:pPr>
            <w:r>
              <w:rPr>
                <w:rFonts w:ascii="Arial" w:hAnsi="Arial" w:cs="Arial"/>
                <w:sz w:val="20"/>
                <w:szCs w:val="20"/>
              </w:rPr>
              <w:t>2,519,152</w:t>
            </w:r>
          </w:p>
        </w:tc>
        <w:tc>
          <w:tcPr>
            <w:tcW w:w="1651" w:type="dxa"/>
            <w:gridSpan w:val="2"/>
            <w:tcBorders>
              <w:top w:val="nil"/>
              <w:left w:val="nil"/>
              <w:bottom w:val="single" w:sz="8" w:space="0" w:color="000000"/>
              <w:right w:val="single" w:sz="8" w:space="0" w:color="000000"/>
            </w:tcBorders>
          </w:tcPr>
          <w:p w:rsidR="00845CA1" w:rsidRPr="00DE22F5" w:rsidRDefault="0060085D" w:rsidP="00DF0D10">
            <w:pPr>
              <w:spacing w:line="-468" w:lineRule="auto"/>
              <w:jc w:val="right"/>
              <w:rPr>
                <w:rFonts w:ascii="Arial" w:hAnsi="Arial" w:cs="Arial"/>
                <w:sz w:val="20"/>
                <w:szCs w:val="20"/>
              </w:rPr>
            </w:pPr>
            <w:r>
              <w:rPr>
                <w:rFonts w:ascii="Arial" w:hAnsi="Arial" w:cs="Arial"/>
                <w:sz w:val="20"/>
                <w:szCs w:val="20"/>
              </w:rPr>
              <w:t>1,356,841</w:t>
            </w:r>
          </w:p>
        </w:tc>
        <w:tc>
          <w:tcPr>
            <w:tcW w:w="1479" w:type="dxa"/>
            <w:gridSpan w:val="2"/>
            <w:tcBorders>
              <w:top w:val="nil"/>
              <w:left w:val="nil"/>
              <w:bottom w:val="single" w:sz="8" w:space="0" w:color="000000"/>
              <w:right w:val="single" w:sz="8" w:space="0" w:color="000000"/>
            </w:tcBorders>
          </w:tcPr>
          <w:p w:rsidR="00845CA1" w:rsidRPr="00DE22F5" w:rsidRDefault="0060085D" w:rsidP="00DF0D10">
            <w:pPr>
              <w:spacing w:line="-468" w:lineRule="auto"/>
              <w:jc w:val="right"/>
              <w:rPr>
                <w:rFonts w:ascii="Arial" w:hAnsi="Arial" w:cs="Arial"/>
                <w:sz w:val="20"/>
                <w:szCs w:val="20"/>
              </w:rPr>
            </w:pPr>
            <w:r>
              <w:rPr>
                <w:rFonts w:ascii="Arial" w:hAnsi="Arial" w:cs="Arial"/>
                <w:sz w:val="20"/>
                <w:szCs w:val="20"/>
              </w:rPr>
              <w:t>1,162,311</w:t>
            </w:r>
          </w:p>
        </w:tc>
      </w:tr>
      <w:tr w:rsidR="00C91592" w:rsidTr="003141FE">
        <w:trPr>
          <w:trHeight w:hRule="exact" w:val="997"/>
        </w:trPr>
        <w:tc>
          <w:tcPr>
            <w:tcW w:w="2604" w:type="dxa"/>
            <w:tcBorders>
              <w:top w:val="nil"/>
              <w:left w:val="single" w:sz="8" w:space="0" w:color="000000"/>
              <w:bottom w:val="single" w:sz="8" w:space="0" w:color="000000"/>
              <w:right w:val="single" w:sz="8" w:space="0" w:color="000000"/>
            </w:tcBorders>
            <w:hideMark/>
          </w:tcPr>
          <w:p w:rsidR="00845CA1" w:rsidRPr="00DE22F5" w:rsidRDefault="00845CA1" w:rsidP="003141FE">
            <w:pPr>
              <w:overflowPunct w:val="0"/>
              <w:autoSpaceDE w:val="0"/>
              <w:autoSpaceDN w:val="0"/>
              <w:ind w:left="100" w:right="450"/>
              <w:rPr>
                <w:rFonts w:ascii="Arial" w:hAnsi="Arial" w:cs="Arial"/>
                <w:sz w:val="20"/>
                <w:szCs w:val="20"/>
                <w:lang w:eastAsia="en-GB"/>
              </w:rPr>
            </w:pPr>
            <w:r w:rsidRPr="00DE22F5">
              <w:rPr>
                <w:rFonts w:ascii="Arial" w:hAnsi="Arial" w:cs="Arial"/>
                <w:sz w:val="20"/>
                <w:szCs w:val="20"/>
                <w:lang w:eastAsia="en-GB"/>
              </w:rPr>
              <w:t xml:space="preserve">Apportioned remuneration of senior management in relation to the </w:t>
            </w:r>
            <w:r w:rsidR="003141FE" w:rsidRPr="00DE22F5">
              <w:rPr>
                <w:rFonts w:ascii="Arial" w:hAnsi="Arial" w:cs="Arial"/>
                <w:sz w:val="20"/>
                <w:szCs w:val="20"/>
                <w:lang w:eastAsia="en-GB"/>
              </w:rPr>
              <w:t>F</w:t>
            </w:r>
            <w:r w:rsidRPr="00DE22F5">
              <w:rPr>
                <w:rFonts w:ascii="Arial" w:hAnsi="Arial" w:cs="Arial"/>
                <w:sz w:val="20"/>
                <w:szCs w:val="20"/>
                <w:lang w:eastAsia="en-GB"/>
              </w:rPr>
              <w:t>und</w:t>
            </w:r>
          </w:p>
        </w:tc>
        <w:tc>
          <w:tcPr>
            <w:tcW w:w="1366" w:type="dxa"/>
            <w:tcBorders>
              <w:top w:val="nil"/>
              <w:left w:val="nil"/>
              <w:bottom w:val="single" w:sz="8" w:space="0" w:color="000000"/>
              <w:right w:val="single" w:sz="8" w:space="0" w:color="000000"/>
            </w:tcBorders>
          </w:tcPr>
          <w:p w:rsidR="00845CA1" w:rsidRPr="00DE22F5" w:rsidRDefault="00DE22F5" w:rsidP="002B77DE">
            <w:pPr>
              <w:spacing w:line="-468" w:lineRule="auto"/>
              <w:jc w:val="right"/>
              <w:rPr>
                <w:rFonts w:ascii="Arial" w:hAnsi="Arial" w:cs="Arial"/>
                <w:sz w:val="20"/>
                <w:szCs w:val="20"/>
              </w:rPr>
            </w:pPr>
            <w:r>
              <w:rPr>
                <w:rFonts w:ascii="Arial" w:hAnsi="Arial" w:cs="Arial"/>
                <w:sz w:val="20"/>
                <w:szCs w:val="20"/>
              </w:rPr>
              <w:t>4</w:t>
            </w:r>
          </w:p>
        </w:tc>
        <w:tc>
          <w:tcPr>
            <w:tcW w:w="1536" w:type="dxa"/>
            <w:gridSpan w:val="2"/>
            <w:tcBorders>
              <w:top w:val="nil"/>
              <w:left w:val="nil"/>
              <w:bottom w:val="single" w:sz="8" w:space="0" w:color="000000"/>
              <w:right w:val="single" w:sz="8" w:space="0" w:color="000000"/>
            </w:tcBorders>
          </w:tcPr>
          <w:p w:rsidR="00845CA1" w:rsidRPr="00DE22F5" w:rsidRDefault="0060085D" w:rsidP="00DF0D10">
            <w:pPr>
              <w:spacing w:line="-468" w:lineRule="auto"/>
              <w:jc w:val="right"/>
              <w:rPr>
                <w:rFonts w:ascii="Arial" w:hAnsi="Arial" w:cs="Arial"/>
                <w:sz w:val="20"/>
                <w:szCs w:val="20"/>
              </w:rPr>
            </w:pPr>
            <w:r>
              <w:rPr>
                <w:rFonts w:ascii="Arial" w:hAnsi="Arial" w:cs="Arial"/>
                <w:sz w:val="20"/>
                <w:szCs w:val="20"/>
              </w:rPr>
              <w:t>1,543,978</w:t>
            </w:r>
          </w:p>
        </w:tc>
        <w:tc>
          <w:tcPr>
            <w:tcW w:w="1638" w:type="dxa"/>
            <w:gridSpan w:val="2"/>
            <w:tcBorders>
              <w:top w:val="nil"/>
              <w:left w:val="nil"/>
              <w:bottom w:val="single" w:sz="8" w:space="0" w:color="000000"/>
              <w:right w:val="single" w:sz="8" w:space="0" w:color="000000"/>
            </w:tcBorders>
          </w:tcPr>
          <w:p w:rsidR="00845CA1" w:rsidRPr="00DE22F5" w:rsidRDefault="0060085D" w:rsidP="00C91592">
            <w:pPr>
              <w:spacing w:line="-468" w:lineRule="auto"/>
              <w:jc w:val="right"/>
              <w:rPr>
                <w:rFonts w:ascii="Arial" w:hAnsi="Arial" w:cs="Arial"/>
                <w:sz w:val="20"/>
                <w:szCs w:val="20"/>
              </w:rPr>
            </w:pPr>
            <w:r>
              <w:rPr>
                <w:rFonts w:ascii="Arial" w:hAnsi="Arial" w:cs="Arial"/>
                <w:sz w:val="20"/>
                <w:szCs w:val="20"/>
              </w:rPr>
              <w:t>726,667</w:t>
            </w:r>
          </w:p>
        </w:tc>
        <w:tc>
          <w:tcPr>
            <w:tcW w:w="1466" w:type="dxa"/>
            <w:tcBorders>
              <w:top w:val="nil"/>
              <w:left w:val="nil"/>
              <w:bottom w:val="single" w:sz="8" w:space="0" w:color="000000"/>
              <w:right w:val="single" w:sz="8" w:space="0" w:color="000000"/>
            </w:tcBorders>
          </w:tcPr>
          <w:p w:rsidR="00845CA1" w:rsidRPr="00DE22F5" w:rsidRDefault="0060085D" w:rsidP="00C91592">
            <w:pPr>
              <w:spacing w:line="-468" w:lineRule="auto"/>
              <w:jc w:val="right"/>
              <w:rPr>
                <w:rFonts w:ascii="Arial" w:hAnsi="Arial" w:cs="Arial"/>
                <w:sz w:val="20"/>
                <w:szCs w:val="20"/>
              </w:rPr>
            </w:pPr>
            <w:r>
              <w:rPr>
                <w:rFonts w:ascii="Arial" w:hAnsi="Arial" w:cs="Arial"/>
                <w:sz w:val="20"/>
                <w:szCs w:val="20"/>
              </w:rPr>
              <w:t>817,311</w:t>
            </w:r>
          </w:p>
        </w:tc>
      </w:tr>
      <w:tr w:rsidR="00C91592" w:rsidTr="00C91592">
        <w:trPr>
          <w:trHeight w:hRule="exact" w:val="980"/>
        </w:trPr>
        <w:tc>
          <w:tcPr>
            <w:tcW w:w="2604" w:type="dxa"/>
            <w:tcBorders>
              <w:top w:val="nil"/>
              <w:left w:val="single" w:sz="8" w:space="0" w:color="000000"/>
              <w:bottom w:val="single" w:sz="8" w:space="0" w:color="000000"/>
              <w:right w:val="single" w:sz="8" w:space="0" w:color="000000"/>
            </w:tcBorders>
            <w:hideMark/>
          </w:tcPr>
          <w:p w:rsidR="00845CA1" w:rsidRPr="00DE22F5" w:rsidRDefault="00845CA1" w:rsidP="003141FE">
            <w:pPr>
              <w:overflowPunct w:val="0"/>
              <w:autoSpaceDE w:val="0"/>
              <w:autoSpaceDN w:val="0"/>
              <w:ind w:left="100" w:right="684"/>
              <w:rPr>
                <w:rFonts w:ascii="Arial" w:hAnsi="Arial" w:cs="Arial"/>
                <w:sz w:val="20"/>
                <w:szCs w:val="20"/>
                <w:lang w:eastAsia="en-GB"/>
              </w:rPr>
            </w:pPr>
            <w:r w:rsidRPr="00DE22F5">
              <w:rPr>
                <w:rFonts w:ascii="Arial" w:hAnsi="Arial" w:cs="Arial"/>
                <w:sz w:val="20"/>
                <w:szCs w:val="20"/>
                <w:lang w:eastAsia="en-GB"/>
              </w:rPr>
              <w:t xml:space="preserve">Apportioned remuneration of risk takers in relation to the </w:t>
            </w:r>
            <w:r w:rsidR="003141FE" w:rsidRPr="00DE22F5">
              <w:rPr>
                <w:rFonts w:ascii="Arial" w:hAnsi="Arial" w:cs="Arial"/>
                <w:sz w:val="20"/>
                <w:szCs w:val="20"/>
                <w:lang w:eastAsia="en-GB"/>
              </w:rPr>
              <w:t>F</w:t>
            </w:r>
            <w:r w:rsidRPr="00DE22F5">
              <w:rPr>
                <w:rFonts w:ascii="Arial" w:hAnsi="Arial" w:cs="Arial"/>
                <w:sz w:val="20"/>
                <w:szCs w:val="20"/>
                <w:lang w:eastAsia="en-GB"/>
              </w:rPr>
              <w:t>und</w:t>
            </w:r>
          </w:p>
        </w:tc>
        <w:tc>
          <w:tcPr>
            <w:tcW w:w="1366" w:type="dxa"/>
            <w:tcBorders>
              <w:top w:val="nil"/>
              <w:left w:val="nil"/>
              <w:bottom w:val="single" w:sz="8" w:space="0" w:color="000000"/>
              <w:right w:val="single" w:sz="8" w:space="0" w:color="000000"/>
            </w:tcBorders>
          </w:tcPr>
          <w:p w:rsidR="00845CA1" w:rsidRPr="00DE22F5" w:rsidRDefault="001737D2" w:rsidP="002B77DE">
            <w:pPr>
              <w:spacing w:line="-468" w:lineRule="auto"/>
              <w:jc w:val="right"/>
              <w:rPr>
                <w:rFonts w:ascii="Arial" w:hAnsi="Arial" w:cs="Arial"/>
                <w:sz w:val="20"/>
                <w:szCs w:val="20"/>
              </w:rPr>
            </w:pPr>
            <w:r>
              <w:rPr>
                <w:rFonts w:ascii="Arial" w:hAnsi="Arial" w:cs="Arial"/>
                <w:sz w:val="20"/>
                <w:szCs w:val="20"/>
              </w:rPr>
              <w:t>2</w:t>
            </w:r>
          </w:p>
        </w:tc>
        <w:tc>
          <w:tcPr>
            <w:tcW w:w="1536" w:type="dxa"/>
            <w:gridSpan w:val="2"/>
            <w:tcBorders>
              <w:top w:val="nil"/>
              <w:left w:val="nil"/>
              <w:bottom w:val="single" w:sz="8" w:space="0" w:color="000000"/>
              <w:right w:val="single" w:sz="8" w:space="0" w:color="000000"/>
            </w:tcBorders>
          </w:tcPr>
          <w:p w:rsidR="00845CA1" w:rsidRPr="00DE22F5" w:rsidRDefault="0060085D" w:rsidP="00C91592">
            <w:pPr>
              <w:spacing w:line="-468" w:lineRule="auto"/>
              <w:jc w:val="right"/>
              <w:rPr>
                <w:rFonts w:ascii="Arial" w:hAnsi="Arial" w:cs="Arial"/>
                <w:sz w:val="20"/>
                <w:szCs w:val="20"/>
              </w:rPr>
            </w:pPr>
            <w:r>
              <w:rPr>
                <w:rFonts w:ascii="Arial" w:hAnsi="Arial" w:cs="Arial"/>
                <w:sz w:val="20"/>
                <w:szCs w:val="20"/>
              </w:rPr>
              <w:t>1,163,978</w:t>
            </w:r>
          </w:p>
        </w:tc>
        <w:tc>
          <w:tcPr>
            <w:tcW w:w="1638" w:type="dxa"/>
            <w:gridSpan w:val="2"/>
            <w:tcBorders>
              <w:top w:val="nil"/>
              <w:left w:val="nil"/>
              <w:bottom w:val="single" w:sz="8" w:space="0" w:color="000000"/>
              <w:right w:val="single" w:sz="8" w:space="0" w:color="000000"/>
            </w:tcBorders>
          </w:tcPr>
          <w:p w:rsidR="00845CA1" w:rsidRPr="00DE22F5" w:rsidRDefault="0060085D" w:rsidP="00465DF8">
            <w:pPr>
              <w:spacing w:line="-468" w:lineRule="auto"/>
              <w:jc w:val="right"/>
              <w:rPr>
                <w:rFonts w:ascii="Arial" w:hAnsi="Arial" w:cs="Arial"/>
                <w:sz w:val="20"/>
                <w:szCs w:val="20"/>
              </w:rPr>
            </w:pPr>
            <w:r>
              <w:rPr>
                <w:rFonts w:ascii="Arial" w:hAnsi="Arial" w:cs="Arial"/>
                <w:sz w:val="20"/>
                <w:szCs w:val="20"/>
              </w:rPr>
              <w:t>476,667</w:t>
            </w:r>
          </w:p>
        </w:tc>
        <w:tc>
          <w:tcPr>
            <w:tcW w:w="1466" w:type="dxa"/>
            <w:tcBorders>
              <w:top w:val="nil"/>
              <w:left w:val="nil"/>
              <w:bottom w:val="single" w:sz="8" w:space="0" w:color="000000"/>
              <w:right w:val="single" w:sz="8" w:space="0" w:color="000000"/>
            </w:tcBorders>
          </w:tcPr>
          <w:p w:rsidR="00845CA1" w:rsidRPr="00DE22F5" w:rsidRDefault="0060085D" w:rsidP="00DE22F5">
            <w:pPr>
              <w:spacing w:line="-468" w:lineRule="auto"/>
              <w:jc w:val="right"/>
              <w:rPr>
                <w:rFonts w:ascii="Arial" w:hAnsi="Arial" w:cs="Arial"/>
                <w:sz w:val="20"/>
                <w:szCs w:val="20"/>
              </w:rPr>
            </w:pPr>
            <w:r>
              <w:rPr>
                <w:rFonts w:ascii="Arial" w:hAnsi="Arial" w:cs="Arial"/>
                <w:sz w:val="20"/>
                <w:szCs w:val="20"/>
              </w:rPr>
              <w:t>687,311</w:t>
            </w:r>
          </w:p>
        </w:tc>
      </w:tr>
    </w:tbl>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1"/>
        <w:ind w:left="377"/>
        <w:jc w:val="both"/>
        <w:rPr>
          <w:rFonts w:ascii="Arial" w:hAnsi="Arial" w:cs="Arial"/>
          <w:b/>
          <w:bCs/>
          <w:sz w:val="20"/>
          <w:szCs w:val="20"/>
          <w:lang w:eastAsia="en-GB"/>
        </w:rPr>
      </w:pPr>
      <w:r>
        <w:rPr>
          <w:rFonts w:ascii="Arial" w:hAnsi="Arial" w:cs="Arial"/>
          <w:b/>
          <w:bCs/>
          <w:sz w:val="20"/>
          <w:szCs w:val="20"/>
          <w:lang w:eastAsia="en-GB"/>
        </w:rPr>
        <w:t>The Firm’s Remuneration Policy</w:t>
      </w:r>
    </w:p>
    <w:p w:rsidR="00845CA1" w:rsidRDefault="00845CA1" w:rsidP="00845CA1">
      <w:pPr>
        <w:overflowPunct w:val="0"/>
        <w:autoSpaceDE w:val="0"/>
        <w:autoSpaceDN w:val="0"/>
        <w:spacing w:before="1"/>
        <w:rPr>
          <w:rFonts w:ascii="Arial" w:hAnsi="Arial" w:cs="Arial"/>
          <w:b/>
          <w:bCs/>
          <w:sz w:val="20"/>
          <w:szCs w:val="20"/>
          <w:lang w:eastAsia="en-GB"/>
        </w:rPr>
      </w:pPr>
    </w:p>
    <w:p w:rsidR="00845CA1" w:rsidRDefault="00845CA1" w:rsidP="00845CA1">
      <w:pPr>
        <w:overflowPunct w:val="0"/>
        <w:autoSpaceDE w:val="0"/>
        <w:autoSpaceDN w:val="0"/>
        <w:ind w:left="377" w:right="686"/>
        <w:jc w:val="both"/>
        <w:rPr>
          <w:rFonts w:ascii="Arial" w:hAnsi="Arial" w:cs="Arial"/>
          <w:sz w:val="20"/>
          <w:szCs w:val="20"/>
          <w:lang w:eastAsia="en-GB"/>
        </w:rPr>
      </w:pPr>
      <w:r>
        <w:rPr>
          <w:rFonts w:ascii="Arial" w:hAnsi="Arial" w:cs="Arial"/>
          <w:sz w:val="20"/>
          <w:szCs w:val="20"/>
          <w:lang w:eastAsia="en-GB"/>
        </w:rPr>
        <w:t>The FCA expects firms to apply the Principles in a manner that is proportionate to the size, nature and complexity of a firm’s business. With respect to the Remuneration Code, the Firm considers itself a low risk firm (previously classified as a “Category 3 firm” per the BIPRU Remuneration Code (SYSC 19C)</w:t>
      </w:r>
      <w:r w:rsidR="004707D5">
        <w:rPr>
          <w:rFonts w:ascii="Arial" w:hAnsi="Arial" w:cs="Arial"/>
          <w:sz w:val="20"/>
          <w:szCs w:val="20"/>
          <w:lang w:eastAsia="en-GB"/>
        </w:rPr>
        <w:t>)</w:t>
      </w:r>
      <w:r>
        <w:rPr>
          <w:rFonts w:ascii="Arial" w:hAnsi="Arial" w:cs="Arial"/>
          <w:sz w:val="20"/>
          <w:szCs w:val="20"/>
          <w:lang w:eastAsia="en-GB"/>
        </w:rPr>
        <w:t xml:space="preserve"> where the risk appetite and profile of the client are consistent with the Firm.</w:t>
      </w:r>
    </w:p>
    <w:p w:rsidR="00845CA1" w:rsidRDefault="00845CA1" w:rsidP="00845CA1">
      <w:pPr>
        <w:overflowPunct w:val="0"/>
        <w:autoSpaceDE w:val="0"/>
        <w:autoSpaceDN w:val="0"/>
        <w:spacing w:line="223" w:lineRule="exact"/>
        <w:ind w:right="109"/>
        <w:jc w:val="right"/>
        <w:rPr>
          <w:rFonts w:ascii="Arial" w:hAnsi="Arial" w:cs="Arial"/>
          <w:sz w:val="20"/>
          <w:szCs w:val="20"/>
          <w:lang w:eastAsia="en-GB"/>
        </w:rPr>
      </w:pPr>
    </w:p>
    <w:p w:rsidR="00845CA1" w:rsidRDefault="00845CA1" w:rsidP="00845CA1">
      <w:pPr>
        <w:overflowPunct w:val="0"/>
        <w:autoSpaceDE w:val="0"/>
        <w:autoSpaceDN w:val="0"/>
        <w:rPr>
          <w:rFonts w:ascii="Arial" w:hAnsi="Arial" w:cs="Arial"/>
          <w:b/>
          <w:bCs/>
          <w:sz w:val="20"/>
          <w:szCs w:val="20"/>
          <w:lang w:eastAsia="en-GB"/>
        </w:rPr>
      </w:pPr>
    </w:p>
    <w:p w:rsidR="00845CA1" w:rsidRDefault="00845CA1" w:rsidP="00845CA1">
      <w:pPr>
        <w:overflowPunct w:val="0"/>
        <w:autoSpaceDE w:val="0"/>
        <w:autoSpaceDN w:val="0"/>
        <w:spacing w:before="1"/>
        <w:ind w:left="40" w:right="106"/>
        <w:jc w:val="both"/>
        <w:rPr>
          <w:rFonts w:ascii="Arial" w:hAnsi="Arial" w:cs="Arial"/>
          <w:sz w:val="20"/>
          <w:szCs w:val="20"/>
          <w:lang w:eastAsia="en-GB"/>
        </w:rPr>
      </w:pPr>
      <w:r>
        <w:rPr>
          <w:rFonts w:ascii="Arial" w:hAnsi="Arial" w:cs="Arial"/>
          <w:sz w:val="20"/>
          <w:szCs w:val="20"/>
          <w:lang w:eastAsia="en-GB"/>
        </w:rPr>
        <w:t>It is primarily the responsibility of the Firm to assess its own characteristics and to develop and implement remuneration policies and practices that appropriately align with the risks faced and provide adequate and effective incentives to its staff.</w:t>
      </w:r>
    </w:p>
    <w:p w:rsidR="00845CA1" w:rsidRDefault="00845CA1" w:rsidP="00845CA1">
      <w:pPr>
        <w:overflowPunct w:val="0"/>
        <w:autoSpaceDE w:val="0"/>
        <w:autoSpaceDN w:val="0"/>
        <w:spacing w:before="1"/>
        <w:rPr>
          <w:rFonts w:ascii="Arial" w:hAnsi="Arial" w:cs="Arial"/>
          <w:sz w:val="20"/>
          <w:szCs w:val="20"/>
          <w:lang w:eastAsia="en-GB"/>
        </w:rPr>
      </w:pPr>
    </w:p>
    <w:p w:rsidR="00845CA1" w:rsidRDefault="00845CA1" w:rsidP="00845CA1">
      <w:pPr>
        <w:overflowPunct w:val="0"/>
        <w:autoSpaceDE w:val="0"/>
        <w:autoSpaceDN w:val="0"/>
        <w:ind w:left="40" w:right="105"/>
        <w:jc w:val="both"/>
        <w:rPr>
          <w:rFonts w:ascii="Arial" w:hAnsi="Arial" w:cs="Arial"/>
          <w:sz w:val="20"/>
          <w:szCs w:val="20"/>
          <w:lang w:eastAsia="en-GB"/>
        </w:rPr>
      </w:pPr>
      <w:r>
        <w:rPr>
          <w:rFonts w:ascii="Arial" w:hAnsi="Arial" w:cs="Arial"/>
          <w:sz w:val="20"/>
          <w:szCs w:val="20"/>
          <w:lang w:eastAsia="en-GB"/>
        </w:rPr>
        <w:t>The Firm has identified the staff members who are covered by the Remuneration Code (“Code Staff”) as those who have a material impact on the risk profile of the Firm or AIFs managed by the Firm. This generally includes</w:t>
      </w:r>
      <w:r>
        <w:rPr>
          <w:rFonts w:ascii="Arial" w:hAnsi="Arial" w:cs="Arial"/>
          <w:spacing w:val="50"/>
          <w:sz w:val="20"/>
          <w:szCs w:val="20"/>
          <w:lang w:eastAsia="en-GB"/>
        </w:rPr>
        <w:t xml:space="preserve"> </w:t>
      </w:r>
      <w:r>
        <w:rPr>
          <w:rFonts w:ascii="Arial" w:hAnsi="Arial" w:cs="Arial"/>
          <w:sz w:val="20"/>
          <w:szCs w:val="20"/>
          <w:lang w:eastAsia="en-GB"/>
        </w:rPr>
        <w:t>senior</w:t>
      </w:r>
      <w:r>
        <w:rPr>
          <w:rFonts w:ascii="Arial" w:hAnsi="Arial" w:cs="Arial"/>
          <w:spacing w:val="52"/>
          <w:sz w:val="20"/>
          <w:szCs w:val="20"/>
          <w:lang w:eastAsia="en-GB"/>
        </w:rPr>
        <w:t xml:space="preserve"> </w:t>
      </w:r>
      <w:r>
        <w:rPr>
          <w:rFonts w:ascii="Arial" w:hAnsi="Arial" w:cs="Arial"/>
          <w:sz w:val="20"/>
          <w:szCs w:val="20"/>
          <w:lang w:eastAsia="en-GB"/>
        </w:rPr>
        <w:t>management, risk</w:t>
      </w:r>
      <w:r>
        <w:rPr>
          <w:rFonts w:ascii="Arial" w:hAnsi="Arial" w:cs="Arial"/>
          <w:spacing w:val="53"/>
          <w:sz w:val="20"/>
          <w:szCs w:val="20"/>
          <w:lang w:eastAsia="en-GB"/>
        </w:rPr>
        <w:t xml:space="preserve"> </w:t>
      </w:r>
      <w:r>
        <w:rPr>
          <w:rFonts w:ascii="Arial" w:hAnsi="Arial" w:cs="Arial"/>
          <w:sz w:val="20"/>
          <w:szCs w:val="20"/>
          <w:lang w:eastAsia="en-GB"/>
        </w:rPr>
        <w:t>takers, those</w:t>
      </w:r>
      <w:r>
        <w:rPr>
          <w:rFonts w:ascii="Arial" w:hAnsi="Arial" w:cs="Arial"/>
          <w:spacing w:val="51"/>
          <w:sz w:val="20"/>
          <w:szCs w:val="20"/>
          <w:lang w:eastAsia="en-GB"/>
        </w:rPr>
        <w:t xml:space="preserve"> </w:t>
      </w:r>
      <w:r>
        <w:rPr>
          <w:rFonts w:ascii="Arial" w:hAnsi="Arial" w:cs="Arial"/>
          <w:sz w:val="20"/>
          <w:szCs w:val="20"/>
          <w:lang w:eastAsia="en-GB"/>
        </w:rPr>
        <w:t>holding control functions</w:t>
      </w:r>
      <w:r>
        <w:rPr>
          <w:rFonts w:ascii="Arial" w:hAnsi="Arial" w:cs="Arial"/>
          <w:spacing w:val="53"/>
          <w:sz w:val="20"/>
          <w:szCs w:val="20"/>
          <w:lang w:eastAsia="en-GB"/>
        </w:rPr>
        <w:t xml:space="preserve"> </w:t>
      </w:r>
      <w:r>
        <w:rPr>
          <w:rFonts w:ascii="Arial" w:hAnsi="Arial" w:cs="Arial"/>
          <w:sz w:val="20"/>
          <w:szCs w:val="20"/>
          <w:lang w:eastAsia="en-GB"/>
        </w:rPr>
        <w:t>and</w:t>
      </w:r>
      <w:r>
        <w:rPr>
          <w:rFonts w:ascii="Arial" w:hAnsi="Arial" w:cs="Arial"/>
          <w:spacing w:val="51"/>
          <w:sz w:val="20"/>
          <w:szCs w:val="20"/>
          <w:lang w:eastAsia="en-GB"/>
        </w:rPr>
        <w:t xml:space="preserve"> </w:t>
      </w:r>
      <w:r>
        <w:rPr>
          <w:rFonts w:ascii="Arial" w:hAnsi="Arial" w:cs="Arial"/>
          <w:sz w:val="20"/>
          <w:szCs w:val="20"/>
          <w:lang w:eastAsia="en-GB"/>
        </w:rPr>
        <w:t xml:space="preserve">any staff member whose total remuneration takes them into the same remuneration bracket as senior management. With respect to each performance period, the Firm assessed which </w:t>
      </w:r>
      <w:proofErr w:type="gramStart"/>
      <w:r>
        <w:rPr>
          <w:rFonts w:ascii="Arial" w:hAnsi="Arial" w:cs="Arial"/>
          <w:sz w:val="20"/>
          <w:szCs w:val="20"/>
          <w:lang w:eastAsia="en-GB"/>
        </w:rPr>
        <w:t>staff are</w:t>
      </w:r>
      <w:proofErr w:type="gramEnd"/>
      <w:r>
        <w:rPr>
          <w:rFonts w:ascii="Arial" w:hAnsi="Arial" w:cs="Arial"/>
          <w:sz w:val="20"/>
          <w:szCs w:val="20"/>
          <w:lang w:eastAsia="en-GB"/>
        </w:rPr>
        <w:t xml:space="preserve"> Code Staff, and this is documented in the Remuneration Policy.</w:t>
      </w:r>
    </w:p>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1"/>
        <w:ind w:left="40" w:right="106"/>
        <w:jc w:val="both"/>
        <w:rPr>
          <w:rFonts w:ascii="Arial" w:hAnsi="Arial" w:cs="Arial"/>
          <w:sz w:val="20"/>
          <w:szCs w:val="20"/>
          <w:lang w:eastAsia="en-GB"/>
        </w:rPr>
      </w:pPr>
      <w:r>
        <w:rPr>
          <w:rFonts w:ascii="Arial" w:hAnsi="Arial" w:cs="Arial"/>
          <w:sz w:val="20"/>
          <w:szCs w:val="20"/>
          <w:lang w:eastAsia="en-GB"/>
        </w:rPr>
        <w:t xml:space="preserve">The policy is designed to ensure that the Alternative Investment Fund Manager has sound remuneration practices that are designed to increase investor protections and avoid conflicts of interest that may lead to excessive risk taking. This policy is intended to align the interest of the Alternative Investment Fund Manager with </w:t>
      </w:r>
      <w:r w:rsidR="003141FE">
        <w:rPr>
          <w:rFonts w:ascii="Arial" w:hAnsi="Arial" w:cs="Arial"/>
          <w:sz w:val="20"/>
          <w:szCs w:val="20"/>
          <w:lang w:eastAsia="en-GB"/>
        </w:rPr>
        <w:t>the Fund</w:t>
      </w:r>
      <w:r>
        <w:rPr>
          <w:rFonts w:ascii="Arial" w:hAnsi="Arial" w:cs="Arial"/>
          <w:sz w:val="20"/>
          <w:szCs w:val="20"/>
          <w:lang w:eastAsia="en-GB"/>
        </w:rPr>
        <w:t>.</w:t>
      </w:r>
    </w:p>
    <w:p w:rsidR="00845CA1" w:rsidRDefault="00845CA1" w:rsidP="00845CA1">
      <w:pPr>
        <w:overflowPunct w:val="0"/>
        <w:autoSpaceDE w:val="0"/>
        <w:autoSpaceDN w:val="0"/>
        <w:spacing w:before="10"/>
        <w:rPr>
          <w:rFonts w:ascii="Arial" w:hAnsi="Arial" w:cs="Arial"/>
          <w:sz w:val="19"/>
          <w:szCs w:val="19"/>
          <w:lang w:eastAsia="en-GB"/>
        </w:rPr>
      </w:pPr>
    </w:p>
    <w:p w:rsidR="00845CA1" w:rsidRDefault="00845CA1" w:rsidP="00845CA1">
      <w:pPr>
        <w:overflowPunct w:val="0"/>
        <w:autoSpaceDE w:val="0"/>
        <w:autoSpaceDN w:val="0"/>
        <w:ind w:left="40" w:right="104"/>
        <w:jc w:val="both"/>
        <w:rPr>
          <w:rFonts w:ascii="Arial" w:hAnsi="Arial" w:cs="Arial"/>
          <w:sz w:val="20"/>
          <w:szCs w:val="20"/>
          <w:lang w:eastAsia="en-GB"/>
        </w:rPr>
      </w:pPr>
      <w:r>
        <w:rPr>
          <w:rFonts w:ascii="Arial" w:hAnsi="Arial" w:cs="Arial"/>
          <w:sz w:val="20"/>
          <w:szCs w:val="20"/>
          <w:lang w:eastAsia="en-GB"/>
        </w:rPr>
        <w:t>The Firm’s performance related remuneration is based on the assessment of the individual’s performance and competence in his/her role within the business during a defined period.</w:t>
      </w:r>
    </w:p>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1"/>
        <w:ind w:left="40" w:right="106"/>
        <w:jc w:val="both"/>
        <w:rPr>
          <w:rFonts w:ascii="Arial" w:hAnsi="Arial" w:cs="Arial"/>
          <w:sz w:val="20"/>
          <w:szCs w:val="20"/>
          <w:lang w:eastAsia="en-GB"/>
        </w:rPr>
      </w:pPr>
      <w:r>
        <w:rPr>
          <w:rFonts w:ascii="Arial" w:hAnsi="Arial" w:cs="Arial"/>
          <w:sz w:val="20"/>
          <w:szCs w:val="20"/>
          <w:lang w:eastAsia="en-GB"/>
        </w:rPr>
        <w:t>The Alternative Investment Fund Manager’s Code Staff receive both fixed compensation in the form of a salary and variable compensation in the form of a discretionary bonus. The discretionary annual bonus is not based on any specific investment performance-related metric that would result in taking any undue investment risks.</w:t>
      </w:r>
    </w:p>
    <w:p w:rsidR="00C91592" w:rsidRDefault="00C91592" w:rsidP="00845CA1">
      <w:pPr>
        <w:overflowPunct w:val="0"/>
        <w:autoSpaceDE w:val="0"/>
        <w:autoSpaceDN w:val="0"/>
        <w:spacing w:before="1"/>
        <w:ind w:left="40" w:right="106"/>
        <w:jc w:val="both"/>
        <w:rPr>
          <w:rFonts w:ascii="Arial" w:hAnsi="Arial" w:cs="Arial"/>
          <w:sz w:val="20"/>
          <w:szCs w:val="20"/>
          <w:lang w:eastAsia="en-GB"/>
        </w:rPr>
      </w:pPr>
    </w:p>
    <w:p w:rsidR="00845CA1" w:rsidRDefault="00C91592" w:rsidP="00845CA1">
      <w:pPr>
        <w:overflowPunct w:val="0"/>
        <w:autoSpaceDE w:val="0"/>
        <w:autoSpaceDN w:val="0"/>
        <w:spacing w:before="180"/>
        <w:ind w:left="40"/>
        <w:jc w:val="both"/>
        <w:rPr>
          <w:rFonts w:ascii="Arial" w:hAnsi="Arial" w:cs="Arial"/>
          <w:b/>
          <w:bCs/>
          <w:sz w:val="20"/>
          <w:szCs w:val="20"/>
          <w:lang w:eastAsia="en-GB"/>
        </w:rPr>
      </w:pPr>
      <w:r>
        <w:rPr>
          <w:rFonts w:ascii="Arial" w:hAnsi="Arial" w:cs="Arial"/>
          <w:b/>
          <w:bCs/>
          <w:sz w:val="20"/>
          <w:szCs w:val="20"/>
          <w:lang w:eastAsia="en-GB"/>
        </w:rPr>
        <w:t>Variable R</w:t>
      </w:r>
      <w:r w:rsidR="00845CA1">
        <w:rPr>
          <w:rFonts w:ascii="Arial" w:hAnsi="Arial" w:cs="Arial"/>
          <w:b/>
          <w:bCs/>
          <w:sz w:val="20"/>
          <w:szCs w:val="20"/>
          <w:lang w:eastAsia="en-GB"/>
        </w:rPr>
        <w:t>emuneration</w:t>
      </w:r>
    </w:p>
    <w:p w:rsidR="00845CA1" w:rsidRDefault="00845CA1" w:rsidP="00845CA1">
      <w:pPr>
        <w:overflowPunct w:val="0"/>
        <w:autoSpaceDE w:val="0"/>
        <w:autoSpaceDN w:val="0"/>
        <w:spacing w:before="187"/>
        <w:ind w:left="40" w:right="105"/>
        <w:jc w:val="both"/>
        <w:rPr>
          <w:rFonts w:ascii="Arial" w:hAnsi="Arial" w:cs="Arial"/>
          <w:sz w:val="20"/>
          <w:szCs w:val="20"/>
          <w:lang w:eastAsia="en-GB"/>
        </w:rPr>
      </w:pPr>
      <w:r>
        <w:rPr>
          <w:rFonts w:ascii="Arial" w:hAnsi="Arial" w:cs="Arial"/>
          <w:sz w:val="20"/>
          <w:szCs w:val="20"/>
          <w:lang w:eastAsia="en-GB"/>
        </w:rPr>
        <w:t>Variable remuneration is an important tool to incentivise staff. It also gives the Alternative Investment Fund Manager (and therefore the Fund) flexibility such that, in years in which the Alternative Investment Fund Manager performs poorly, variable remuneration may be reduced or eliminated. In some circumstances, however, variable remuneration, if inappropriately structured, can lead to excessive risk taking as employees may be incentivised to keep taking risk to maintain or increase their variable remuneration.</w:t>
      </w:r>
    </w:p>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1"/>
        <w:ind w:left="40" w:right="107"/>
        <w:jc w:val="both"/>
        <w:rPr>
          <w:rFonts w:ascii="Arial" w:hAnsi="Arial" w:cs="Arial"/>
          <w:sz w:val="20"/>
          <w:szCs w:val="20"/>
          <w:lang w:eastAsia="en-GB"/>
        </w:rPr>
      </w:pPr>
      <w:r>
        <w:rPr>
          <w:rFonts w:ascii="Arial" w:hAnsi="Arial" w:cs="Arial"/>
          <w:sz w:val="20"/>
          <w:szCs w:val="20"/>
          <w:lang w:eastAsia="en-GB"/>
        </w:rPr>
        <w:t>In deciding the mix between fixed and variable remuneration, the Alternative Investment Fund Manager is conscious of the need to ensure that the fixed element of pay for staff is adequate to compensate them for the professional services they have rendered, taking into account the expertise and skills required as well as the degree of seniority.</w:t>
      </w:r>
    </w:p>
    <w:p w:rsidR="003141FE" w:rsidRDefault="00845CA1" w:rsidP="003141FE">
      <w:pPr>
        <w:overflowPunct w:val="0"/>
        <w:autoSpaceDE w:val="0"/>
        <w:autoSpaceDN w:val="0"/>
        <w:spacing w:before="183"/>
        <w:ind w:left="40" w:right="107"/>
        <w:jc w:val="both"/>
        <w:rPr>
          <w:rFonts w:ascii="Arial" w:hAnsi="Arial" w:cs="Arial"/>
          <w:sz w:val="20"/>
          <w:szCs w:val="20"/>
          <w:lang w:eastAsia="en-GB"/>
        </w:rPr>
      </w:pPr>
      <w:r>
        <w:rPr>
          <w:rFonts w:ascii="Arial" w:hAnsi="Arial" w:cs="Arial"/>
          <w:sz w:val="20"/>
          <w:szCs w:val="20"/>
          <w:lang w:eastAsia="en-GB"/>
        </w:rPr>
        <w:t>The ratio of variable pay to fixed pay for Code Staff is considered appropriate but will be kept under review on a periodic basis.</w:t>
      </w:r>
      <w:r w:rsidR="003141FE">
        <w:rPr>
          <w:rFonts w:ascii="Arial" w:hAnsi="Arial" w:cs="Arial"/>
          <w:sz w:val="20"/>
          <w:szCs w:val="20"/>
          <w:lang w:eastAsia="en-GB"/>
        </w:rPr>
        <w:t xml:space="preserve"> </w:t>
      </w:r>
    </w:p>
    <w:p w:rsidR="008E2A93" w:rsidRDefault="00845CA1" w:rsidP="003141FE">
      <w:pPr>
        <w:overflowPunct w:val="0"/>
        <w:autoSpaceDE w:val="0"/>
        <w:autoSpaceDN w:val="0"/>
        <w:spacing w:before="183"/>
        <w:ind w:left="40" w:right="107"/>
        <w:jc w:val="both"/>
      </w:pPr>
      <w:r>
        <w:rPr>
          <w:rFonts w:ascii="Arial" w:hAnsi="Arial" w:cs="Arial"/>
          <w:sz w:val="20"/>
          <w:szCs w:val="20"/>
          <w:lang w:eastAsia="en-GB"/>
        </w:rPr>
        <w:t>The variable portion of each employee’s compensation is determined by the managing members of the Alternative Investment Fund Manager.</w:t>
      </w:r>
    </w:p>
    <w:sectPr w:rsidR="008E2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A1"/>
    <w:rsid w:val="001737D2"/>
    <w:rsid w:val="00232C34"/>
    <w:rsid w:val="002B77DE"/>
    <w:rsid w:val="003141FE"/>
    <w:rsid w:val="003812AF"/>
    <w:rsid w:val="00391BC0"/>
    <w:rsid w:val="00454221"/>
    <w:rsid w:val="00465DF8"/>
    <w:rsid w:val="004707D5"/>
    <w:rsid w:val="0060085D"/>
    <w:rsid w:val="00684B4E"/>
    <w:rsid w:val="00845CA1"/>
    <w:rsid w:val="0089008A"/>
    <w:rsid w:val="008E2A93"/>
    <w:rsid w:val="00B07B92"/>
    <w:rsid w:val="00C91592"/>
    <w:rsid w:val="00CB4132"/>
    <w:rsid w:val="00CC4C99"/>
    <w:rsid w:val="00DE22F5"/>
    <w:rsid w:val="00DF0D10"/>
    <w:rsid w:val="00EA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Kidd</dc:creator>
  <cp:lastModifiedBy>John Kidd</cp:lastModifiedBy>
  <cp:revision>3</cp:revision>
  <cp:lastPrinted>2020-02-03T16:07:00Z</cp:lastPrinted>
  <dcterms:created xsi:type="dcterms:W3CDTF">2020-02-03T16:22:00Z</dcterms:created>
  <dcterms:modified xsi:type="dcterms:W3CDTF">2020-02-03T16:23:00Z</dcterms:modified>
</cp:coreProperties>
</file>