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AE4" w:rsidRPr="005953C9" w:rsidRDefault="00153247" w:rsidP="005953C9">
      <w:pPr>
        <w:spacing w:after="0"/>
        <w:jc w:val="center"/>
        <w:rPr>
          <w:b/>
          <w:sz w:val="28"/>
          <w:szCs w:val="28"/>
          <w:u w:val="single"/>
        </w:rPr>
      </w:pPr>
      <w:r w:rsidRPr="005953C9">
        <w:rPr>
          <w:b/>
          <w:sz w:val="28"/>
          <w:szCs w:val="28"/>
          <w:u w:val="single"/>
        </w:rPr>
        <w:t>AIFMD Leverage</w:t>
      </w:r>
      <w:r w:rsidR="005953C9" w:rsidRPr="005953C9">
        <w:rPr>
          <w:b/>
          <w:sz w:val="28"/>
          <w:szCs w:val="28"/>
          <w:u w:val="single"/>
        </w:rPr>
        <w:t xml:space="preserve"> Disclosure</w:t>
      </w:r>
    </w:p>
    <w:p w:rsidR="00153247" w:rsidRDefault="00153247" w:rsidP="00153247">
      <w:pPr>
        <w:spacing w:after="0"/>
      </w:pPr>
    </w:p>
    <w:p w:rsidR="005953C9" w:rsidRDefault="005953C9" w:rsidP="00153247">
      <w:pPr>
        <w:spacing w:after="0"/>
      </w:pPr>
    </w:p>
    <w:p w:rsidR="00153247" w:rsidRDefault="00153247" w:rsidP="00153247">
      <w:pPr>
        <w:spacing w:after="0"/>
      </w:pPr>
      <w:r>
        <w:t>For the purposes of the AIFMD, leverage is any method which increases the Company’s exposure, including the borrowing of cash and the use of derivatives.  It is expressed as a ratio between the Company’s exposure and its net asset value and is calculated under the Gross and Commitment Methods in accorda</w:t>
      </w:r>
      <w:bookmarkStart w:id="0" w:name="_GoBack"/>
      <w:bookmarkEnd w:id="0"/>
      <w:r>
        <w:t>nce with AIFMD.  Under the Gross Method, exposure represents the sum of the Company’s positions without taking account of any netting or hedging arrangements.  Under the Commitment Method, exposure is calculated after certain hedging and netting positions are offset against each other.</w:t>
      </w:r>
    </w:p>
    <w:p w:rsidR="00153247" w:rsidRDefault="00153247" w:rsidP="00153247">
      <w:pPr>
        <w:spacing w:after="0"/>
      </w:pPr>
    </w:p>
    <w:p w:rsidR="00153247" w:rsidRDefault="00153247" w:rsidP="00153247">
      <w:pPr>
        <w:spacing w:after="0"/>
      </w:pPr>
      <w:r>
        <w:t xml:space="preserve">The Company is required to state its maximum and actual leverage levels calculated as prescribed by AIFMD.  At 30 </w:t>
      </w:r>
      <w:r w:rsidR="00DF7F03">
        <w:t>April</w:t>
      </w:r>
      <w:r>
        <w:t xml:space="preserve"> 201</w:t>
      </w:r>
      <w:r w:rsidR="00DF7F03">
        <w:t>9</w:t>
      </w:r>
      <w:r>
        <w:t xml:space="preserve"> the figures were:</w:t>
      </w:r>
    </w:p>
    <w:p w:rsidR="00153247" w:rsidRDefault="00153247" w:rsidP="00153247">
      <w:pPr>
        <w:spacing w:after="0"/>
      </w:pPr>
    </w:p>
    <w:tbl>
      <w:tblPr>
        <w:tblStyle w:val="TableGrid"/>
        <w:tblW w:w="0" w:type="auto"/>
        <w:tblLook w:val="04A0" w:firstRow="1" w:lastRow="0" w:firstColumn="1" w:lastColumn="0" w:noHBand="0" w:noVBand="1"/>
      </w:tblPr>
      <w:tblGrid>
        <w:gridCol w:w="3080"/>
        <w:gridCol w:w="2273"/>
        <w:gridCol w:w="2410"/>
      </w:tblGrid>
      <w:tr w:rsidR="00CE1182" w:rsidTr="00CE1182">
        <w:tc>
          <w:tcPr>
            <w:tcW w:w="3080" w:type="dxa"/>
          </w:tcPr>
          <w:p w:rsidR="00CE1182" w:rsidRPr="00CE1182" w:rsidRDefault="00CE1182" w:rsidP="00153247">
            <w:pPr>
              <w:rPr>
                <w:b/>
              </w:rPr>
            </w:pPr>
            <w:r w:rsidRPr="00CE1182">
              <w:rPr>
                <w:b/>
              </w:rPr>
              <w:t>Leverage Exposure</w:t>
            </w:r>
          </w:p>
          <w:p w:rsidR="00CE1182" w:rsidRPr="00CE1182" w:rsidRDefault="00CE1182" w:rsidP="00153247">
            <w:pPr>
              <w:rPr>
                <w:b/>
              </w:rPr>
            </w:pPr>
          </w:p>
        </w:tc>
        <w:tc>
          <w:tcPr>
            <w:tcW w:w="2273" w:type="dxa"/>
          </w:tcPr>
          <w:p w:rsidR="00CE1182" w:rsidRPr="00CE1182" w:rsidRDefault="00CE1182" w:rsidP="00CE1182">
            <w:pPr>
              <w:jc w:val="right"/>
              <w:rPr>
                <w:b/>
              </w:rPr>
            </w:pPr>
            <w:r w:rsidRPr="00CE1182">
              <w:rPr>
                <w:b/>
              </w:rPr>
              <w:t>Gross Method</w:t>
            </w:r>
          </w:p>
        </w:tc>
        <w:tc>
          <w:tcPr>
            <w:tcW w:w="2410" w:type="dxa"/>
          </w:tcPr>
          <w:p w:rsidR="00CE1182" w:rsidRPr="00CE1182" w:rsidRDefault="00CE1182" w:rsidP="00CE1182">
            <w:pPr>
              <w:jc w:val="right"/>
              <w:rPr>
                <w:b/>
              </w:rPr>
            </w:pPr>
            <w:r w:rsidRPr="00CE1182">
              <w:rPr>
                <w:b/>
              </w:rPr>
              <w:t>Commitment Method</w:t>
            </w:r>
          </w:p>
        </w:tc>
      </w:tr>
      <w:tr w:rsidR="00CE1182" w:rsidTr="00CE1182">
        <w:tc>
          <w:tcPr>
            <w:tcW w:w="3080" w:type="dxa"/>
          </w:tcPr>
          <w:p w:rsidR="00CE1182" w:rsidRDefault="00CE1182" w:rsidP="00153247">
            <w:r>
              <w:t xml:space="preserve">Maximum Limit </w:t>
            </w:r>
          </w:p>
        </w:tc>
        <w:tc>
          <w:tcPr>
            <w:tcW w:w="2273" w:type="dxa"/>
          </w:tcPr>
          <w:p w:rsidR="00CE1182" w:rsidRDefault="00CE1182" w:rsidP="00CE1182">
            <w:pPr>
              <w:jc w:val="right"/>
            </w:pPr>
            <w:r>
              <w:t>150%</w:t>
            </w:r>
          </w:p>
        </w:tc>
        <w:tc>
          <w:tcPr>
            <w:tcW w:w="2410" w:type="dxa"/>
          </w:tcPr>
          <w:p w:rsidR="00CE1182" w:rsidRDefault="00CE1182" w:rsidP="00CE1182">
            <w:pPr>
              <w:jc w:val="right"/>
            </w:pPr>
            <w:r>
              <w:t>130%</w:t>
            </w:r>
          </w:p>
        </w:tc>
      </w:tr>
      <w:tr w:rsidR="00CE1182" w:rsidTr="00CE1182">
        <w:tc>
          <w:tcPr>
            <w:tcW w:w="3080" w:type="dxa"/>
          </w:tcPr>
          <w:p w:rsidR="00CE1182" w:rsidRDefault="00CE1182" w:rsidP="00153247">
            <w:r>
              <w:t>Actual Level</w:t>
            </w:r>
          </w:p>
        </w:tc>
        <w:tc>
          <w:tcPr>
            <w:tcW w:w="2273" w:type="dxa"/>
          </w:tcPr>
          <w:p w:rsidR="00CE1182" w:rsidRDefault="00CE1182" w:rsidP="00DF7F03">
            <w:pPr>
              <w:jc w:val="right"/>
            </w:pPr>
            <w:r>
              <w:t>1</w:t>
            </w:r>
            <w:r w:rsidR="00DF7F03">
              <w:t>18</w:t>
            </w:r>
            <w:r>
              <w:t>%</w:t>
            </w:r>
          </w:p>
        </w:tc>
        <w:tc>
          <w:tcPr>
            <w:tcW w:w="2410" w:type="dxa"/>
          </w:tcPr>
          <w:p w:rsidR="00CE1182" w:rsidRDefault="00CE1182" w:rsidP="00DF7F03">
            <w:pPr>
              <w:jc w:val="right"/>
            </w:pPr>
            <w:r>
              <w:t>1</w:t>
            </w:r>
            <w:r w:rsidR="00DF7F03">
              <w:t>18</w:t>
            </w:r>
            <w:r>
              <w:t>%</w:t>
            </w:r>
          </w:p>
        </w:tc>
      </w:tr>
    </w:tbl>
    <w:p w:rsidR="00153247" w:rsidRDefault="00153247" w:rsidP="00153247">
      <w:pPr>
        <w:spacing w:after="0"/>
      </w:pPr>
    </w:p>
    <w:sectPr w:rsidR="001532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247"/>
    <w:rsid w:val="00153247"/>
    <w:rsid w:val="005953C9"/>
    <w:rsid w:val="005E4AE4"/>
    <w:rsid w:val="006C4704"/>
    <w:rsid w:val="009A5CCA"/>
    <w:rsid w:val="00CE1182"/>
    <w:rsid w:val="00D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1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Kidd</dc:creator>
  <cp:lastModifiedBy>John Kidd</cp:lastModifiedBy>
  <cp:revision>3</cp:revision>
  <dcterms:created xsi:type="dcterms:W3CDTF">2019-05-23T08:02:00Z</dcterms:created>
  <dcterms:modified xsi:type="dcterms:W3CDTF">2019-05-23T08:03:00Z</dcterms:modified>
</cp:coreProperties>
</file>